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uto" w:line="240" w:after="0"/>
        <w:rPr>
          <w:rFonts w:ascii="Times New Roman" w:hAnsi="Times New Roman" w:eastAsia="Times New Roman"/>
          <w:b/>
          <w:color w:val="FF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FF0000"/>
          <w:sz w:val="28"/>
          <w:szCs w:val="28"/>
          <w:highlight w:val="none"/>
          <w:lang w:eastAsia="ru-RU"/>
        </w:rPr>
        <w:t xml:space="preserve">ПРОЕКТ</w:t>
      </w:r>
      <w:r>
        <w:rPr>
          <w:rFonts w:ascii="Times New Roman" w:hAnsi="Times New Roman" w:eastAsia="Times New Roman"/>
          <w:b/>
          <w:bCs/>
          <w:color w:val="FF0000"/>
          <w:sz w:val="28"/>
          <w:szCs w:val="28"/>
          <w:highlight w:val="none"/>
          <w:lang w:eastAsia="ru-RU"/>
        </w:rPr>
      </w:r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b/>
          <w:bCs/>
          <w:sz w:val="28"/>
          <w:szCs w:val="28"/>
          <w:highlight w:val="none"/>
          <w:lang w:eastAsia="ru-RU"/>
        </w:rPr>
      </w:r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РОССИЙСКАЯ ФЕДЕРАЦИЯ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АДМИНИСТРАЦИЯ СТОЙБИНСКОГО  СЕЛЬСОВЕТА  СЕЛЕМДЖИНСКОГО РАЙОНА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АМУРСКОЙ ОБЛАСТИ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ПОСТАНОВЛЕНИЕ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7965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tabs>
          <w:tab w:val="left" w:pos="7965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 Стойба</w:t>
      </w:r>
      <w:r/>
    </w:p>
    <w:p>
      <w:pPr>
        <w:jc w:val="center"/>
        <w:spacing w:lineRule="auto" w:line="240" w:after="0"/>
        <w:tabs>
          <w:tab w:val="left" w:pos="7965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tbl>
      <w:tblPr>
        <w:tblStyle w:val="602"/>
        <w:tblW w:w="0" w:type="auto"/>
        <w:tblLook w:val="04A0" w:firstRow="1" w:lastRow="0" w:firstColumn="1" w:lastColumn="0" w:noHBand="0" w:noVBand="1"/>
      </w:tblPr>
      <w:tblGrid>
        <w:gridCol w:w="4503"/>
      </w:tblGrid>
      <w:tr>
        <w:trPr/>
        <w:tc>
          <w:tcPr>
            <w:tcW w:w="450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bidi="ru-RU" w:eastAsia="ru-RU"/>
              </w:rPr>
              <w:t xml:space="preserve">Программы профилактики нарушений обязательных требований законодательства в рамках муниципального жилищного контроля на территории Стойбинского</w:t>
            </w:r>
            <w:bookmarkStart w:id="0" w:name="_Hlk84839748"/>
            <w:r/>
            <w:bookmarkEnd w:id="0"/>
            <w:r>
              <w:rPr>
                <w:rFonts w:ascii="Times New Roman" w:hAnsi="Times New Roman" w:eastAsia="Times New Roman"/>
                <w:bCs/>
                <w:sz w:val="28"/>
                <w:szCs w:val="28"/>
                <w:lang w:bidi="ru-RU" w:eastAsia="ru-RU"/>
              </w:rPr>
              <w:t xml:space="preserve"> сельсовета Селемджинского района Амурской области на 2023 год</w:t>
            </w:r>
            <w:r/>
          </w:p>
        </w:tc>
      </w:tr>
    </w:tbl>
    <w:p>
      <w:pPr>
        <w:spacing w:lineRule="exact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426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В соответствии с Федеральным законом от 26 дека</w:t>
      </w: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бря 2008 г.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декабря 2018 г. № 1680 «Об утве</w:t>
      </w: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о с т а н о в л я ю: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 Утвердить прилагаемую </w:t>
      </w: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Программу профилактики нарушений обязательных требований законодательства в рамках муниципального жилищного контроля на территории Стойбинского сельсовета Селемджинского района Амурской области на 2023 год.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2. Настоящее постановление разместить на официальном сайте администрации Стойбинского сельсовета в информационно-телекоммуникационной сети Интернет.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3. Контроль за выполнением настоящего постановления оставляю за собой.</w:t>
      </w:r>
      <w:r/>
    </w:p>
    <w:p>
      <w:pPr>
        <w:ind w:firstLine="735"/>
        <w:jc w:val="both"/>
        <w:spacing w:lineRule="auto" w:line="240" w:after="0"/>
        <w:widowControl w:val="off"/>
        <w:rPr>
          <w:rFonts w:ascii="Times New Roman" w:hAnsi="Times New Roman" w:eastAsia="Lucida Sans Unicode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eastAsia="Lucida Sans Unicode"/>
          <w:sz w:val="28"/>
          <w:szCs w:val="28"/>
          <w:lang w:eastAsia="ar-SA"/>
        </w:rPr>
        <w:t xml:space="preserve"> Настоящее постановление вступает в силу с 01 января 2023 г.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Глава Стойбинского  сельсовета                     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А.А. Даниленко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                                 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УТВЕРЖДЕНА</w:t>
      </w:r>
      <w:r/>
    </w:p>
    <w:p>
      <w:pPr>
        <w:ind w:left="4678"/>
        <w:jc w:val="center"/>
        <w:spacing w:lineRule="exact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постановлением главы</w:t>
      </w:r>
      <w:r/>
    </w:p>
    <w:p>
      <w:pPr>
        <w:ind w:left="4678"/>
        <w:jc w:val="center"/>
        <w:spacing w:lineRule="exact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Стойбинского сельсовета</w:t>
      </w:r>
      <w:r/>
    </w:p>
    <w:p>
      <w:pPr>
        <w:ind w:left="4678"/>
        <w:jc w:val="center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г.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center"/>
        <w:spacing w:lineRule="exact" w:line="360" w:after="12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/>
      <w:bookmarkStart w:id="1" w:name="P43"/>
      <w:r/>
      <w:bookmarkEnd w:id="1"/>
      <w:r/>
      <w:r/>
    </w:p>
    <w:p>
      <w:pPr>
        <w:ind w:firstLine="709"/>
        <w:jc w:val="center"/>
        <w:spacing w:lineRule="exact" w:line="360" w:after="120"/>
        <w:widowControl w:val="off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ПРОГРАММА</w:t>
      </w:r>
      <w:r/>
    </w:p>
    <w:p>
      <w:pPr>
        <w:ind w:firstLine="709"/>
        <w:jc w:val="center"/>
        <w:spacing w:lineRule="exact" w:line="240" w:after="0"/>
        <w:widowControl w:val="off"/>
        <w:rPr>
          <w:rFonts w:ascii="Times New Roman" w:hAnsi="Times New Roman" w:eastAsia="Times New Roman"/>
          <w:b/>
          <w:sz w:val="28"/>
          <w:szCs w:val="28"/>
          <w:lang w:bidi="ru-RU"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bidi="ru-RU" w:eastAsia="ru-RU"/>
        </w:rPr>
        <w:t xml:space="preserve">профилактики нарушений обязательных требований законодательства в рамках муниципального жилищного контроля на территории Стойбинского сельсовета Селемджинского района</w:t>
      </w:r>
      <w:r/>
    </w:p>
    <w:p>
      <w:pPr>
        <w:ind w:firstLine="709"/>
        <w:jc w:val="center"/>
        <w:spacing w:lineRule="exact" w:line="240" w:after="0"/>
        <w:widowControl w:val="off"/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bidi="ru-RU" w:eastAsia="ru-RU"/>
        </w:rPr>
        <w:t xml:space="preserve"> Амурской области на 2023 год</w:t>
      </w:r>
      <w:r/>
    </w:p>
    <w:p>
      <w:pPr>
        <w:ind w:firstLine="709"/>
        <w:jc w:val="center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center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 Аналитическая часть</w:t>
      </w:r>
      <w:r/>
    </w:p>
    <w:p>
      <w:pPr>
        <w:ind w:firstLine="709"/>
        <w:jc w:val="center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В соответствии  с Федеральным зак</w:t>
      </w: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оном от 31.07.2020 г. № 248-ФЗ «О государственном контроле (надзоре) и муниципальном контроле в Российской Федерации», органы  местного самоуправления будут осуществлять семь видов муниципального контроля, в  которые входит муниципальный жилищный контроль.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Стойбинского</w:t>
      </w: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 сельсовета Селемджинского района Амурской области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жилого фонда федеральными законами в области</w:t>
      </w: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 жилищных отношений, муниципальными правовыми актами, а также на организацию и проведение мероприятий по профилактике нарушений требований, мероприятий по контролю, осуществляемых без взаимодействия с юридическими лицами, индивидуальными предпринимателями.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Муниципальный жилищный контроль на территории Стойбинского сельсовета Селемджинского района начиная с 01 января 2022 г. осуществляется администрацией Стойбинского сельсовета Селемджинского района Амурской области (далее – администрация).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Субъектами подконтрольной</w:t>
      </w: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 деятельности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Стойбинского сельсовета Селемджинского района Амурской области.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Настоящая програ</w:t>
      </w: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мма профилактики нарушений обязательных требований законодательства в рамках муниципального жилищного контроля на территории Стойбинского сельсовета Селемджинского района Амурской области на 2023 год (далее – программа) разработана в целях организации </w:t>
      </w: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проведения администрацией Стойбинского сельсовета профилактических мероприятий, направленных на предупреждение на</w:t>
      </w: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рушений юридическими лицами, индивидуальными предпринимателями, гражданами, занимающими муниципальные жилые помещения на территории Стойбинского сельсовета Селемджинского района Амурской области (далее – подконтрольные субъекты) обязательных требований.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Целями программы являются: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-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- разъяснение субъектам необходимости соблюдения обязательных требований.</w:t>
      </w:r>
      <w:r/>
    </w:p>
    <w:p>
      <w:pPr>
        <w:ind w:firstLine="709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Задачами программы являются: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- укрепление системы профилактики нарушений обязательных требований путем активизации профилактической деятельности;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- повышение правосознания и правовой культуры руководителей подконтрольных субъектов.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Реализация программы планируется путем осуществления профилактических мероприятий в разделе 2 настоящей программы.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</w:r>
      <w:r/>
    </w:p>
    <w:p>
      <w:pPr>
        <w:ind w:firstLine="709"/>
        <w:jc w:val="center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2. План мероприятий по профилактике нарушений на 2023 год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</w:r>
      <w:r/>
    </w:p>
    <w:tbl>
      <w:tblPr>
        <w:tblStyle w:val="60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7"/>
        <w:gridCol w:w="2267"/>
        <w:gridCol w:w="2091"/>
      </w:tblGrid>
      <w:tr>
        <w:trPr/>
        <w:tc>
          <w:tcPr>
            <w:tcW w:w="67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ru-RU" w:eastAsia="ru-RU"/>
              </w:rPr>
              <w:t xml:space="preserve">№</w:t>
            </w:r>
            <w:r/>
          </w:p>
          <w:p>
            <w:pPr>
              <w:jc w:val="center"/>
              <w:spacing w:lineRule="auto" w:line="216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ru-RU" w:eastAsia="ru-RU"/>
              </w:rPr>
              <w:t xml:space="preserve">п/п</w:t>
            </w:r>
            <w:r/>
          </w:p>
        </w:tc>
        <w:tc>
          <w:tcPr>
            <w:tcW w:w="4537" w:type="dxa"/>
            <w:textDirection w:val="lrTb"/>
            <w:noWrap w:val="false"/>
          </w:tcPr>
          <w:p>
            <w:pPr>
              <w:ind w:firstLine="34"/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ru-RU" w:eastAsia="ru-RU"/>
              </w:rPr>
              <w:t xml:space="preserve">Мероприятие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ru-RU" w:eastAsia="ru-RU"/>
              </w:rPr>
              <w:t xml:space="preserve">Сроки реализации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ru-RU" w:eastAsia="ru-RU"/>
              </w:rPr>
              <w:t xml:space="preserve">Ответственный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1.</w:t>
            </w:r>
            <w:r/>
          </w:p>
        </w:tc>
        <w:tc>
          <w:tcPr>
            <w:tcW w:w="4537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Размещение на официальном сайте администрации Стойбинского сельсовета в информационно-телекоммуникационной сети Интернет информации о содержании обязательных требований и о порядке осуществления муниципального жилищного контроля, в том числе: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в течение года (по мере необходимости)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Администрация Стойбинского сельсовета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1.1.</w:t>
            </w:r>
            <w:r/>
          </w:p>
        </w:tc>
        <w:tc>
          <w:tcPr>
            <w:tcW w:w="4537" w:type="dxa"/>
            <w:textDirection w:val="lrTb"/>
            <w:noWrap w:val="false"/>
          </w:tcPr>
          <w:p>
            <w:pPr>
              <w:jc w:val="both"/>
              <w:spacing w:lineRule="auto" w:line="240"/>
              <w:widowControl w:val="off"/>
              <w:tabs>
                <w:tab w:val="left" w:pos="1868" w:leader="none"/>
                <w:tab w:val="left" w:pos="3568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 мере</w:t>
            </w:r>
            <w:r/>
          </w:p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необходимости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Администрация Стойбинского сельсовета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1.2.</w:t>
            </w:r>
            <w:r/>
          </w:p>
        </w:tc>
        <w:tc>
          <w:tcPr>
            <w:tcW w:w="4537" w:type="dxa"/>
            <w:textDirection w:val="lrTb"/>
            <w:noWrap w:val="false"/>
          </w:tcPr>
          <w:p>
            <w:pPr>
              <w:jc w:val="both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планов проверок на календарный год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декабрь</w:t>
            </w:r>
            <w:r/>
          </w:p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2022 года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Администрация Стойбинского сельсовета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1.3.</w:t>
            </w:r>
            <w:r/>
          </w:p>
        </w:tc>
        <w:tc>
          <w:tcPr>
            <w:tcW w:w="4537" w:type="dxa"/>
            <w:textDirection w:val="lrTb"/>
            <w:noWrap w:val="false"/>
          </w:tcPr>
          <w:p>
            <w:pPr>
              <w:jc w:val="both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сведений о проведенных плановых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проверках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ежеквартально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Администрация </w:t>
            </w: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Стойбинского сельсовета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1.4.</w:t>
            </w:r>
            <w:r/>
          </w:p>
        </w:tc>
        <w:tc>
          <w:tcPr>
            <w:tcW w:w="4537" w:type="dxa"/>
            <w:textDirection w:val="lrTb"/>
            <w:noWrap w:val="false"/>
          </w:tcPr>
          <w:p>
            <w:pPr>
              <w:jc w:val="both"/>
              <w:spacing w:lineRule="auto" w:line="240"/>
              <w:widowControl w:val="off"/>
              <w:tabs>
                <w:tab w:val="left" w:pos="1696" w:leader="none"/>
                <w:tab w:val="left" w:pos="2704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сведений об осуществлении муниципального жилищного контроля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 раз в год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Администрация Стойбинского сельсовета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2.</w:t>
            </w:r>
            <w:r/>
          </w:p>
        </w:tc>
        <w:tc>
          <w:tcPr>
            <w:tcW w:w="4537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/>
              <w:widowControl w:val="off"/>
              <w:tabs>
                <w:tab w:val="left" w:pos="2923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Актуализация информации, размещенной на официальном сайте администрации Стойбинского сельсовета в информационно-телекоммуникационной в сети Интернет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 мере</w:t>
            </w:r>
            <w:r/>
          </w:p>
          <w:p>
            <w:pPr>
              <w:jc w:val="both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необходимости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Администрация Стойбинского сельсовета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3.</w:t>
            </w:r>
            <w:r/>
          </w:p>
        </w:tc>
        <w:tc>
          <w:tcPr>
            <w:tcW w:w="4537" w:type="dxa"/>
            <w:textDirection w:val="lrTb"/>
            <w:noWrap w:val="false"/>
          </w:tcPr>
          <w:p>
            <w:pPr>
              <w:jc w:val="both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Информирование юридических лиц и индивидуальных предпринимателей по вопросам соблюдения обязательных требований, в том числе посредством: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 мере</w:t>
            </w:r>
            <w:r/>
          </w:p>
          <w:p>
            <w:pPr>
              <w:jc w:val="both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необходимости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Администрация Стойбинского сельсовета</w:t>
            </w:r>
            <w:r/>
          </w:p>
        </w:tc>
      </w:tr>
      <w:tr>
        <w:trPr>
          <w:trHeight w:val="529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3.1.</w:t>
            </w:r>
            <w:r/>
          </w:p>
        </w:tc>
        <w:tc>
          <w:tcPr>
            <w:tcW w:w="4537" w:type="dxa"/>
            <w:textDirection w:val="lrTb"/>
            <w:noWrap w:val="false"/>
          </w:tcPr>
          <w:p>
            <w:pPr>
              <w:jc w:val="both"/>
              <w:spacing w:lineRule="auto" w:line="240"/>
              <w:widowControl w:val="off"/>
              <w:tabs>
                <w:tab w:val="left" w:pos="1411" w:leader="none"/>
                <w:tab w:val="left" w:pos="3902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проведение устного консультирования при обращениях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 мере</w:t>
            </w:r>
            <w:r/>
          </w:p>
          <w:p>
            <w:pPr>
              <w:jc w:val="center"/>
              <w:spacing w:lineRule="auto" w:line="23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необходимости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Администрация Стойбинского сельсовета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3.2.</w:t>
            </w:r>
            <w:r/>
          </w:p>
        </w:tc>
        <w:tc>
          <w:tcPr>
            <w:tcW w:w="4537" w:type="dxa"/>
            <w:textDirection w:val="lrTb"/>
            <w:noWrap w:val="false"/>
          </w:tcPr>
          <w:p>
            <w:pPr>
              <w:jc w:val="both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проведение письменных ответов на поступающие обращения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center"/>
              <w:spacing w:lineRule="auto" w:line="233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 сроки, установленные законодательством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Администрация Стойбинского сельсовета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3.3.</w:t>
            </w:r>
            <w:r/>
          </w:p>
        </w:tc>
        <w:tc>
          <w:tcPr>
            <w:tcW w:w="4537" w:type="dxa"/>
            <w:textDirection w:val="lrTb"/>
            <w:noWrap w:val="false"/>
          </w:tcPr>
          <w:p>
            <w:pPr>
              <w:jc w:val="both"/>
              <w:spacing w:lineRule="auto" w:line="240"/>
              <w:widowControl w:val="off"/>
              <w:tabs>
                <w:tab w:val="left" w:pos="1476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разъяснительной работы (публикация статей, комментариев, интервью) в средствах массовой информации (печатные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ab/>
              <w:t xml:space="preserve">издания, социальные сети)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 мере</w:t>
            </w:r>
            <w:r/>
          </w:p>
          <w:p>
            <w:pPr>
              <w:jc w:val="both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необходимости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Администрация Стойбинского сельсовета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4.</w:t>
            </w:r>
            <w:r/>
          </w:p>
        </w:tc>
        <w:tc>
          <w:tcPr>
            <w:tcW w:w="4537" w:type="dxa"/>
            <w:textDirection w:val="lrTb"/>
            <w:noWrap w:val="false"/>
          </w:tcPr>
          <w:p>
            <w:pPr>
              <w:jc w:val="both"/>
              <w:spacing w:lineRule="auto" w:line="240"/>
              <w:widowControl w:val="off"/>
              <w:tabs>
                <w:tab w:val="left" w:pos="1559" w:leader="none"/>
                <w:tab w:val="left" w:pos="4147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нарушений обязательных требований</w:t>
            </w:r>
            <w:r/>
          </w:p>
        </w:tc>
        <w:tc>
          <w:tcPr>
            <w:tcW w:w="2267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33"/>
              <w:widowControl w:val="off"/>
              <w:tabs>
                <w:tab w:val="left" w:pos="1353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при наличии сведений о готовящихся нарушениях или о признаках нарушений обязательных требований действующего законодательства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Администрация Стойбинского сельсовета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5.</w:t>
            </w:r>
            <w:r/>
          </w:p>
        </w:tc>
        <w:tc>
          <w:tcPr>
            <w:tcW w:w="4537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/>
              <w:widowControl w:val="off"/>
              <w:tabs>
                <w:tab w:val="left" w:pos="1764" w:leader="none"/>
                <w:tab w:val="left" w:pos="2358" w:leader="none"/>
                <w:tab w:val="left" w:pos="3323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Разъяснения, в ходе проверок юридических лиц и индивидуальных предпринимателей,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ab/>
              <w:t xml:space="preserve">обязательных</w:t>
            </w:r>
            <w:r/>
          </w:p>
          <w:p>
            <w:pPr>
              <w:jc w:val="both"/>
              <w:spacing w:lineRule="auto" w:line="240"/>
              <w:widowControl w:val="off"/>
              <w:tabs>
                <w:tab w:val="left" w:pos="2506" w:leader="none"/>
                <w:tab w:val="left" w:pos="4151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требований, прав и обязанностей подконтрольного субъекта 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при проведении проверок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Администрация Стойбинского сельсовета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6.</w:t>
            </w:r>
            <w:r/>
          </w:p>
        </w:tc>
        <w:tc>
          <w:tcPr>
            <w:tcW w:w="4537" w:type="dxa"/>
            <w:textDirection w:val="lrTb"/>
            <w:noWrap w:val="false"/>
          </w:tcPr>
          <w:p>
            <w:pPr>
              <w:jc w:val="both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обязательных требований органа муниципального жилищного контроля на 2024 год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до 20.12.2023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Администрация Стойбинского сельсовета</w:t>
            </w:r>
            <w:r/>
          </w:p>
        </w:tc>
      </w:tr>
    </w:tbl>
    <w:p>
      <w:pPr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</w:r>
      <w:r/>
    </w:p>
    <w:p>
      <w:pPr>
        <w:ind w:firstLine="709"/>
        <w:jc w:val="center"/>
        <w:spacing w:lineRule="exact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3. Отчетные показатели результативности мероприятий программы профилактики на 2023 год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Отчетными показателями качества и результативности мероприятий программы профилактики нарушений обязательных требований органа муниципального жилищного контроля в 2023 году являются: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- количество выявленных нарушений, шт.;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- количество проведенных в 2023 году профилактических мероприятий (публикации в СМИ, в интернет-изданиях, совещаниях с поднадзорными субъектами, публичные мероприятия, консультации и пр.).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Ожидаемый результат: снижение количества выявленных в 2023 году нарушений требований законодательства в жилищной сфере при увеличении количества и качества проводимых профилактических мероприятий.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exact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Глава Стойбинского  сельсовета                                                                 А.А. Даниленко</w:t>
      </w:r>
      <w:r/>
    </w:p>
    <w:p>
      <w:pPr>
        <w:jc w:val="both"/>
        <w:spacing w:lineRule="auto" w:line="240" w:after="0"/>
        <w:widowControl w:val="off"/>
        <w:rPr>
          <w:rFonts w:cs="Calibri" w:eastAsia="Times New Roman"/>
          <w:sz w:val="20"/>
          <w:szCs w:val="20"/>
          <w:lang w:eastAsia="ru-RU"/>
        </w:rPr>
      </w:pPr>
      <w:r>
        <w:rPr>
          <w:rFonts w:cs="Calibri" w:eastAsia="Times New Roman"/>
          <w:sz w:val="20"/>
          <w:szCs w:val="20"/>
          <w:lang w:eastAsia="ru-RU"/>
        </w:rPr>
        <w:t xml:space="preserve"> </w:t>
      </w:r>
      <w:r/>
    </w:p>
    <w:p>
      <w:pPr>
        <w:jc w:val="both"/>
        <w:spacing w:lineRule="auto" w:line="240" w:after="0"/>
        <w:widowControl w:val="off"/>
        <w:rPr>
          <w:rFonts w:cs="Calibri" w:eastAsia="Times New Roman"/>
          <w:sz w:val="20"/>
          <w:szCs w:val="20"/>
          <w:lang w:eastAsia="ru-RU"/>
        </w:rPr>
      </w:pPr>
      <w:r>
        <w:rPr>
          <w:rFonts w:cs="Calibri" w:eastAsia="Times New Roman"/>
          <w:sz w:val="20"/>
          <w:szCs w:val="20"/>
          <w:lang w:eastAsia="ru-RU"/>
        </w:rPr>
      </w:r>
      <w:r/>
    </w:p>
    <w:p>
      <w:pPr>
        <w:jc w:val="both"/>
        <w:spacing w:lineRule="auto" w:line="240" w:after="0"/>
        <w:widowControl w:val="off"/>
        <w:rPr>
          <w:rFonts w:cs="Calibri" w:eastAsia="Times New Roman"/>
          <w:sz w:val="20"/>
          <w:szCs w:val="20"/>
          <w:lang w:eastAsia="ru-RU"/>
        </w:rPr>
      </w:pPr>
      <w:r>
        <w:rPr>
          <w:rFonts w:cs="Calibri" w:eastAsia="Times New Roman"/>
          <w:sz w:val="20"/>
          <w:szCs w:val="20"/>
          <w:lang w:eastAsia="ru-RU"/>
        </w:rPr>
      </w:r>
      <w:r/>
    </w:p>
    <w:p>
      <w:pPr>
        <w:jc w:val="both"/>
        <w:spacing w:lineRule="auto" w:line="240" w:after="0"/>
        <w:widowControl w:val="off"/>
        <w:rPr>
          <w:rFonts w:cs="Calibri" w:eastAsia="Times New Roman"/>
          <w:sz w:val="20"/>
          <w:szCs w:val="20"/>
          <w:lang w:eastAsia="ru-RU"/>
        </w:rPr>
      </w:pPr>
      <w:r>
        <w:rPr>
          <w:rFonts w:cs="Calibri" w:eastAsia="Times New Roman"/>
          <w:sz w:val="20"/>
          <w:szCs w:val="20"/>
          <w:lang w:eastAsia="ru-RU"/>
        </w:rPr>
      </w:r>
      <w:r/>
    </w:p>
    <w:p>
      <w:pPr>
        <w:jc w:val="both"/>
        <w:spacing w:lineRule="auto" w:line="240" w:after="0"/>
        <w:widowControl w:val="off"/>
        <w:rPr>
          <w:rFonts w:cs="Calibri" w:eastAsia="Times New Roman"/>
          <w:sz w:val="20"/>
          <w:szCs w:val="20"/>
          <w:lang w:eastAsia="ru-RU"/>
        </w:rPr>
      </w:pPr>
      <w:r>
        <w:rPr>
          <w:rFonts w:cs="Calibri" w:eastAsia="Times New Roman"/>
          <w:sz w:val="20"/>
          <w:szCs w:val="20"/>
          <w:lang w:eastAsia="ru-RU"/>
        </w:rPr>
      </w:r>
      <w:r/>
    </w:p>
    <w:p>
      <w:pPr>
        <w:jc w:val="both"/>
        <w:spacing w:lineRule="auto" w:line="240" w:after="0"/>
        <w:widowControl w:val="off"/>
        <w:rPr>
          <w:rFonts w:cs="Calibri" w:eastAsia="Times New Roman"/>
          <w:sz w:val="20"/>
          <w:szCs w:val="20"/>
          <w:lang w:eastAsia="ru-RU"/>
        </w:rPr>
      </w:pPr>
      <w:r>
        <w:rPr>
          <w:rFonts w:cs="Calibri" w:eastAsia="Times New Roman"/>
          <w:sz w:val="20"/>
          <w:szCs w:val="20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right"/>
        <w:spacing w:lineRule="auto" w:line="276" w:after="0"/>
        <w:rPr>
          <w:rFonts w:ascii="Times New Roman" w:hAnsi="Times New Roman" w:eastAsia="Times New Roman"/>
          <w:b/>
          <w:bCs/>
          <w:sz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lang w:eastAsia="ru-RU"/>
        </w:rPr>
      </w:r>
      <w:r/>
    </w:p>
    <w:p>
      <w:pPr>
        <w:jc w:val="center"/>
        <w:spacing w:lineRule="auto" w:line="276" w:after="0"/>
        <w:rPr>
          <w:rFonts w:ascii="Times New Roman" w:hAnsi="Times New Roman" w:eastAsia="Times New Roman"/>
          <w:b/>
          <w:bCs/>
          <w:sz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lang w:eastAsia="ru-RU"/>
        </w:rPr>
      </w:r>
      <w:r/>
    </w:p>
    <w:p>
      <w:pPr>
        <w:jc w:val="center"/>
        <w:spacing w:lineRule="auto" w:line="276" w:after="0"/>
        <w:rPr>
          <w:rFonts w:ascii="Times New Roman" w:hAnsi="Times New Roman" w:eastAsia="Times New Roman"/>
          <w:b/>
          <w:bCs/>
          <w:sz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lang w:eastAsia="ru-RU"/>
        </w:rPr>
      </w:r>
      <w:r/>
    </w:p>
    <w:p>
      <w:pPr>
        <w:ind w:firstLine="426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ind w:firstLine="426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Calibri" w:hAnsi="Calibri" w:cs="Times New Roman" w:eastAsia="Calibri"/>
    </w:rPr>
    <w:pPr>
      <w:spacing w:lineRule="auto" w:line="256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 w:customStyle="1">
    <w:name w:val="Сетка таблицы50"/>
    <w:basedOn w:val="600"/>
    <w:next w:val="60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03">
    <w:name w:val="Table Grid"/>
    <w:basedOn w:val="60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3</cp:revision>
  <dcterms:created xsi:type="dcterms:W3CDTF">2021-11-11T00:54:00Z</dcterms:created>
  <dcterms:modified xsi:type="dcterms:W3CDTF">2022-09-29T06:42:15Z</dcterms:modified>
</cp:coreProperties>
</file>